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83" w:rsidRPr="00674DB9" w:rsidRDefault="00E12E83" w:rsidP="00E12E83">
      <w:pPr>
        <w:ind w:firstLine="540"/>
        <w:jc w:val="both"/>
        <w:rPr>
          <w:noProof/>
          <w:sz w:val="27"/>
          <w:szCs w:val="27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>СПРАВКА</w:t>
      </w: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по тематике обращений граждан в соответствии </w:t>
      </w: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с Типовым общероссийским тематическим классификатором обращений граждан </w:t>
      </w: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поступивших в налоговые органы Ленинградской области во </w:t>
      </w:r>
      <w:r w:rsidRPr="00674DB9">
        <w:rPr>
          <w:b/>
          <w:noProof/>
          <w:sz w:val="25"/>
          <w:szCs w:val="25"/>
          <w:lang w:val="en-US"/>
        </w:rPr>
        <w:t>II</w:t>
      </w:r>
      <w:r w:rsidRPr="00674DB9">
        <w:rPr>
          <w:b/>
          <w:noProof/>
          <w:sz w:val="25"/>
          <w:szCs w:val="25"/>
        </w:rPr>
        <w:t xml:space="preserve"> квартале 2019 года</w:t>
      </w:r>
    </w:p>
    <w:tbl>
      <w:tblPr>
        <w:tblW w:w="10363" w:type="dxa"/>
        <w:tblInd w:w="93" w:type="dxa"/>
        <w:tblLook w:val="04A0"/>
      </w:tblPr>
      <w:tblGrid>
        <w:gridCol w:w="2436"/>
        <w:gridCol w:w="6226"/>
        <w:gridCol w:w="1701"/>
      </w:tblGrid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83" w:rsidRPr="00674DB9" w:rsidRDefault="00E12E83" w:rsidP="003B3E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</w:rPr>
            </w:pPr>
            <w:r w:rsidRPr="00674DB9">
              <w:rPr>
                <w:b/>
              </w:rPr>
              <w:t>Код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</w:rPr>
            </w:pPr>
            <w:r w:rsidRPr="00674DB9">
              <w:rPr>
                <w:b/>
              </w:rPr>
              <w:t>Наименование тематики документа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  <w:b/>
              </w:rPr>
            </w:pPr>
            <w:r w:rsidRPr="00674DB9">
              <w:rPr>
                <w:rFonts w:ascii="Cambria" w:hAnsi="Cambria"/>
                <w:b/>
              </w:rPr>
              <w:t> 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</w:pPr>
            <w:r w:rsidRPr="00674DB9"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</w:pPr>
            <w:r w:rsidRPr="00674DB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0001.0000.0000.0000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0001.0002.0000.0000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Основы государственного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0001.0002.0023.0000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0001.0002.0023.0062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0001.0002.0023.0063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0001.0002.0023.0064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0001.0002.0023.0065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0001.0002.0024.0076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Использование служебных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0001.0002.0024.0078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Соблюдение служебной дисциплины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Проведение аттестации гражданских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Урегулирование конфликта интересов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0001.0002.0024.0083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Разрешение индивидуальных служебных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0001.0002.0025.0084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0001.0002.0025.0092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0001.0002.0025.0106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0001.0002.0025.0114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0001.0002.0025.0120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Цены и ценообразование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Неполучение ответа  на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Принятое по обращению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Действие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Результаты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0001.0002.0027.0126*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Отсутствует адресат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0001.0002.0027.0127*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Обращения, не подписанные авторами, без указания адреса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0001.0002.0027.0128*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Некорректные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0001.0002.0027.0129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Обращения, не поддающиеся прочтению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0001.0002.0027.0130*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Переписка прекращена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Прекращение рассмотрения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5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Предоставление дополнительных документов и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27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0001.0002.0027.0138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Личный прием иностранных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0001.0002.0027.0153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Подарки, книги, фотографии, автографы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0001.0002.0027.0158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0001.0020.0000.0000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0001.0020.0191.0176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Граждане (физические лица)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0001.0003.0030.0202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0001.0003.0030.0471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0001.0003.0031.0203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0001.0003.0037.0209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E12E83" w:rsidRPr="00674DB9" w:rsidRDefault="00E12E83" w:rsidP="003B3EB7">
            <w:r w:rsidRPr="00674DB9">
              <w:t>0001.0003.0037.0210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E12E83" w:rsidRPr="00674DB9" w:rsidRDefault="00E12E83" w:rsidP="003B3EB7">
            <w:r w:rsidRPr="00674DB9"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0001.0003.0037.0215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0001.0003.0041.0000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0001.0003.0041.0219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Семья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12E83" w:rsidRPr="00674DB9" w:rsidRDefault="00E12E83" w:rsidP="003B3EB7">
            <w:r w:rsidRPr="00674DB9">
              <w:t>0002.0004.0048.0000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0002.0004.0048.0232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и занятость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0002.0006.0064.0000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0002.0006.0064.0249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Индексация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0002.0006.0064.0250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0002.0006.0065.0000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0002.0006.0065.0254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0002.0006.0065.0257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Выплата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Нормативное правовое регулирование в сфере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0002.0006.0065.0259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Трудовые конфликты. Разрешение трудовых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0002.0006.0065.0269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Материальная и моральная мотивация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</w:t>
            </w:r>
            <w:r w:rsidRPr="00674DB9">
              <w:t xml:space="preserve"> </w:t>
            </w:r>
            <w:r w:rsidRPr="00674DB9">
              <w:rPr>
                <w:b/>
                <w:bCs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0002.0007.0066.0271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0002.0007.0067.0274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0002.0007.0068.0279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Трудовой стаж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0002.0007.0069.0280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Трудовой стаж и трудовые книжки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Пенсии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0002.0007.0071.0282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Назначение пенсии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0002.0007.0071.0283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Перерасчет размеров пенсий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0002.0007.0072.0000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0002.0007.0072.0288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Просьбы об оказании финансовой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0002.0007.0072.0291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0002.0007.0074.0000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0002.0007.0074.0300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Льготы и меры социальной поддержки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0002.0007.0074.0318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0002.0013.0000.0000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Образование. Наука.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0002.0013.0142.0000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0002.0013.0142.0385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0002.0014.0000.0000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0002.0014.0143.0000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0002.0014.0143.0429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Государственный контроль и надзор в сфере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0003.0008.0077.0000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финансовой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0003.0008.0077.0457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Стратегия и перспективы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0003.0008.0079.0000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Денежная система и денежное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0003.0008.0079.0503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Игорный бизнес. Лотереи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0003.0008.0086.0000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Налоги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0003.0008.0086.0537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0003.0008.0086.0538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142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0003.0008.0086.0539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0003.0008.0086.0540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750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 на добавленную 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9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0003.0008.0086.0542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934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3059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5809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 на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Госпошлины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7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35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Юридические вопросы по налогам и сборам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852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Налогообложение алкогольной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162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Организация работы с налогоплательщиками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2234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0003.0008.0086.0553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454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21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Налоговая отчетность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100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Контроль и надзор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24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1519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560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3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Уклонение от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28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32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5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62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124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29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0003.0008.0086.0568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49</w:t>
            </w:r>
          </w:p>
        </w:tc>
      </w:tr>
      <w:tr w:rsidR="00E12E83" w:rsidRPr="00674DB9" w:rsidTr="003B3EB7">
        <w:trPr>
          <w:trHeight w:val="159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r w:rsidRPr="00674DB9">
              <w:t>0003.0008.0086.1198</w:t>
            </w:r>
          </w:p>
        </w:tc>
        <w:tc>
          <w:tcPr>
            <w:tcW w:w="6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44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Банковское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0003.0008.0087.0580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Ценные бумаги. Рынок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0003.0008.0088.0603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0003.0008.0089.0000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Валютное регулирование и 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0003.0008.0089.0621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Валютный рынок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0003.0008.0089.0622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Валютное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0003.0008.0089.0623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0003.0008.0089.0624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0003.0008.0092.0000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0003.0008.0092.0628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Проверка деятельности хозяйствующих субъектов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0003.0009.0000.0000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Хозяйственная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0003.0009.0094.0000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0003.0009.0094.0668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 xml:space="preserve">Работа </w:t>
            </w:r>
            <w:proofErr w:type="spellStart"/>
            <w:r w:rsidRPr="00674DB9">
              <w:t>Росреестра</w:t>
            </w:r>
            <w:proofErr w:type="spellEnd"/>
            <w:r w:rsidRPr="00674DB9"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0003.0009.0096.0000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0003.0009.0096.0674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0003.0009.0098.0000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0003.0009.0098.0723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0003.0009.0098.0728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0003.0009.0099.0742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0003.0009.0099.0749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0003.0009.0100.0000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Связь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0003.0009.0100.0750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0003.0009.0100.0754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Оказание услуг почтовой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0003.0009.0100.0760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Качество оказания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0003.0009.0100.0765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0003.0009.0102.0000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Торговля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0003.0009.0102.0771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Качество товаров. Защита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0003.0009.0102.0772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0003.0010.0000.0000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0003.0010.0112.0000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0003.0010.0112.0787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0003.0010.0116.0000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proofErr w:type="spellStart"/>
            <w:r w:rsidRPr="00674DB9">
              <w:rPr>
                <w:b/>
                <w:bCs/>
              </w:rPr>
              <w:t>Таможенно-тарифное</w:t>
            </w:r>
            <w:proofErr w:type="spellEnd"/>
            <w:r w:rsidRPr="00674DB9">
              <w:rPr>
                <w:b/>
                <w:bCs/>
              </w:rPr>
              <w:t xml:space="preserve">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0003.0010.0116.0791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Утилизационный сбор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0003.0010.0120.0000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0003.0010.0120.0801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0003.0010.0121.0000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0003.0010.0121.0802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Таможенное регулирование и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0003.0011.0000.0000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0003.0011.0122.0000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0003.0011.0122.0828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Законодательство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0003.0011.0123.0000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0003.0011.0123.0848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Информация и информатизация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0003.0012.0132.0000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E83" w:rsidRPr="00674DB9" w:rsidRDefault="00E12E83" w:rsidP="003B3EB7">
            <w:r w:rsidRPr="00674DB9">
              <w:t>0003.0012.0132.0877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Оказание услуг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2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0003.0012.0133.0000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0003.0012.0133.0879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Электронное правительство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0003.0012.0134.0000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0003.0012.0134.0880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Архивный фон. Архивы. Структура архивов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0003.0012.0134.0881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12E83" w:rsidRPr="00674DB9" w:rsidRDefault="00E12E83" w:rsidP="003B3EB7">
            <w:r w:rsidRPr="00674DB9">
              <w:t>Запросы архивных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1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r w:rsidRPr="00674DB9">
              <w:t>0004.0000.0000.0000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0004.0016.0000.0000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и охрана правопорядка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2E83" w:rsidRPr="00674DB9" w:rsidRDefault="00E12E83" w:rsidP="003B3EB7">
            <w:r w:rsidRPr="00674DB9">
              <w:t>0004.0016.0162.0995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Недружественное поглощение и захват предприятий (</w:t>
            </w:r>
            <w:proofErr w:type="spellStart"/>
            <w:r w:rsidRPr="00674DB9">
              <w:t>рейдерство</w:t>
            </w:r>
            <w:proofErr w:type="spellEnd"/>
            <w:r w:rsidRPr="00674DB9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0004.0016.0162.0996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Борьба с коррупцией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0004.0016.0162.1005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Ответственность за нарушение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Ответственность за нарушение жилищного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Ответственность за нарушение в сфере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Паспортная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Регистрация по месту жительства и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0004.0016.0162.1022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Правосудие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0004.0018.0171.0000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Судоустройство. 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0004.0018.0171.1059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Обжалование судебных решений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0004.0018.0171.1070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lastRenderedPageBreak/>
              <w:t>0004.0018.0171.1075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0004.0018.0171.1081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Жилище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0005.0005.0055.1131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0005.0005.0055.1142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Служебные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0005.0005.0056.1149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0005.0005.0057.1177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Участие в долевом строительстве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0005.0005.0057.1179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r w:rsidRPr="00674DB9">
              <w:t>Предоставление субсидий на жилье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</w:rPr>
            </w:pPr>
            <w:r w:rsidRPr="00674DB9">
              <w:rPr>
                <w:rFonts w:ascii="Cambria" w:hAnsi="Cambria"/>
              </w:rPr>
              <w:t>0</w:t>
            </w:r>
          </w:p>
        </w:tc>
      </w:tr>
      <w:tr w:rsidR="00E12E83" w:rsidRPr="00674DB9" w:rsidTr="003B3EB7">
        <w:trPr>
          <w:trHeight w:val="33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83" w:rsidRPr="00674DB9" w:rsidRDefault="00E12E83" w:rsidP="003B3EB7">
            <w:pPr>
              <w:jc w:val="center"/>
            </w:pPr>
            <w:r w:rsidRPr="00674DB9">
              <w:rPr>
                <w:b/>
              </w:rPr>
              <w:t>ИТОГО</w:t>
            </w:r>
            <w:r w:rsidRPr="00674DB9">
              <w:rPr>
                <w:b/>
                <w:lang w:val="en-US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E83" w:rsidRPr="00674DB9" w:rsidRDefault="00E12E83" w:rsidP="003B3EB7">
            <w:pPr>
              <w:jc w:val="center"/>
              <w:rPr>
                <w:rFonts w:ascii="Cambria" w:hAnsi="Cambria"/>
                <w:b/>
              </w:rPr>
            </w:pPr>
            <w:r w:rsidRPr="00674DB9">
              <w:rPr>
                <w:rFonts w:ascii="Cambria" w:hAnsi="Cambria"/>
                <w:b/>
              </w:rPr>
              <w:t>17140</w:t>
            </w:r>
          </w:p>
        </w:tc>
      </w:tr>
      <w:tr w:rsidR="00E12E83" w:rsidRPr="00674DB9" w:rsidTr="003B3EB7">
        <w:trPr>
          <w:gridAfter w:val="2"/>
          <w:wAfter w:w="7927" w:type="dxa"/>
          <w:trHeight w:val="3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83" w:rsidRPr="00674DB9" w:rsidRDefault="00E12E83" w:rsidP="003B3EB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center"/>
        <w:rPr>
          <w:b/>
          <w:noProof/>
          <w:sz w:val="25"/>
          <w:szCs w:val="25"/>
        </w:rPr>
      </w:pPr>
    </w:p>
    <w:p w:rsidR="00E12E83" w:rsidRPr="00674DB9" w:rsidRDefault="00E12E83" w:rsidP="00E12E83">
      <w:pPr>
        <w:jc w:val="both"/>
        <w:rPr>
          <w:noProof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6619875" cy="43624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12E83" w:rsidRPr="00674DB9" w:rsidRDefault="00E12E83" w:rsidP="00E12E83">
      <w:pPr>
        <w:rPr>
          <w:sz w:val="27"/>
          <w:szCs w:val="27"/>
        </w:rPr>
      </w:pPr>
    </w:p>
    <w:p w:rsidR="00E12E83" w:rsidRPr="00674DB9" w:rsidRDefault="00E12E83" w:rsidP="00E12E83">
      <w:pPr>
        <w:rPr>
          <w:sz w:val="27"/>
          <w:szCs w:val="27"/>
        </w:rPr>
      </w:pPr>
    </w:p>
    <w:p w:rsidR="00E12E83" w:rsidRPr="00674DB9" w:rsidRDefault="00E12E83" w:rsidP="00E12E83">
      <w:pPr>
        <w:tabs>
          <w:tab w:val="left" w:pos="6150"/>
        </w:tabs>
        <w:rPr>
          <w:sz w:val="27"/>
          <w:szCs w:val="27"/>
        </w:rPr>
      </w:pPr>
      <w:r w:rsidRPr="00674DB9">
        <w:rPr>
          <w:sz w:val="27"/>
          <w:szCs w:val="27"/>
        </w:rPr>
        <w:tab/>
      </w:r>
    </w:p>
    <w:p w:rsidR="00C54072" w:rsidRDefault="00C54072"/>
    <w:sectPr w:rsidR="00C54072" w:rsidSect="00552B7F">
      <w:headerReference w:type="even" r:id="rId5"/>
      <w:headerReference w:type="default" r:id="rId6"/>
      <w:pgSz w:w="11906" w:h="16838"/>
      <w:pgMar w:top="540" w:right="566" w:bottom="360" w:left="900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AB9" w:rsidRDefault="00E12E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E2AB9" w:rsidRDefault="00E12E8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AB9" w:rsidRDefault="00E12E83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10</w:t>
    </w:r>
    <w:r>
      <w:rPr>
        <w:rStyle w:val="a5"/>
        <w:sz w:val="22"/>
        <w:szCs w:val="22"/>
      </w:rPr>
      <w:fldChar w:fldCharType="end"/>
    </w:r>
  </w:p>
  <w:p w:rsidR="000E2AB9" w:rsidRDefault="00E12E8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2E83"/>
    <w:rsid w:val="00C54072"/>
    <w:rsid w:val="00E1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E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2E83"/>
  </w:style>
  <w:style w:type="paragraph" w:styleId="a6">
    <w:name w:val="Balloon Text"/>
    <w:basedOn w:val="a"/>
    <w:link w:val="a7"/>
    <w:uiPriority w:val="99"/>
    <w:semiHidden/>
    <w:unhideWhenUsed/>
    <w:rsid w:val="00E12E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6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обращений граждан, поступивших в налоговые органы Ленинградской области за 2 квартал 2019 года, по тематике вопроса</a:t>
            </a:r>
          </a:p>
        </c:rich>
      </c:tx>
      <c:layout>
        <c:manualLayout>
          <c:xMode val="edge"/>
          <c:yMode val="edge"/>
          <c:x val="0.10237847804005376"/>
          <c:y val="1.7377442826131278E-2"/>
        </c:manualLayout>
      </c:layout>
      <c:spPr>
        <a:noFill/>
        <a:ln w="18061">
          <a:noFill/>
        </a:ln>
      </c:spPr>
    </c:title>
    <c:view3D>
      <c:depthPercent val="100"/>
      <c:perspective val="30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603929679420892E-2"/>
          <c:y val="0.12776025236593064"/>
          <c:w val="0.60082730093071368"/>
          <c:h val="0.83753943217665627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Pt>
            <c:idx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spPr>
              <a:solidFill>
                <a:srgbClr val="FFC000"/>
              </a:solidFill>
              <a:ln w="18061">
                <a:noFill/>
              </a:ln>
            </c:spPr>
          </c:dPt>
          <c:dPt>
            <c:idx val="4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spPr>
              <a:solidFill>
                <a:srgbClr val="70AD47"/>
              </a:solidFill>
              <a:ln w="18061">
                <a:noFill/>
              </a:ln>
            </c:spPr>
          </c:dPt>
          <c:dPt>
            <c:idx val="6"/>
            <c:spPr>
              <a:solidFill>
                <a:srgbClr val="0070C0"/>
              </a:solidFill>
              <a:ln w="18061">
                <a:noFill/>
              </a:ln>
            </c:spPr>
          </c:dPt>
          <c:dPt>
            <c:idx val="7"/>
            <c:spPr>
              <a:solidFill>
                <a:srgbClr val="FF0000"/>
              </a:solidFill>
              <a:ln w="18061">
                <a:noFill/>
              </a:ln>
            </c:spPr>
          </c:dPt>
          <c:dPt>
            <c:idx val="8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853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3059</c:v>
                </c:pt>
                <c:pt idx="1">
                  <c:v>750</c:v>
                </c:pt>
                <c:pt idx="2">
                  <c:v>934</c:v>
                </c:pt>
                <c:pt idx="3">
                  <c:v>2234</c:v>
                </c:pt>
                <c:pt idx="4">
                  <c:v>560</c:v>
                </c:pt>
                <c:pt idx="5">
                  <c:v>1519</c:v>
                </c:pt>
                <c:pt idx="6">
                  <c:v>5809</c:v>
                </c:pt>
                <c:pt idx="7">
                  <c:v>162</c:v>
                </c:pt>
                <c:pt idx="8">
                  <c:v>124</c:v>
                </c:pt>
                <c:pt idx="9">
                  <c:v>1739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НДФЛ</c:v>
                </c:pt>
              </c:strCache>
            </c:strRef>
          </c:tx>
          <c:spPr>
            <a:solidFill>
              <a:srgbClr val="0070C0"/>
            </a:solidFill>
            <a:ln w="18061">
              <a:noFill/>
            </a:ln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ИНН</c:v>
                </c:pt>
              </c:strCache>
            </c:strRef>
          </c:tx>
          <c:spPr>
            <a:solidFill>
              <a:srgbClr val="FF0000"/>
            </a:solidFill>
            <a:ln w="18061">
              <a:noFill/>
            </a:ln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Государственная регистрация юридических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640" b="0" i="0" u="none" strike="noStrike" baseline="0">
                    <a:solidFill>
                      <a:srgbClr val="333399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dLbls>
            <c:spPr>
              <a:noFill/>
              <a:ln w="18061">
                <a:noFill/>
              </a:ln>
            </c:spPr>
            <c:txPr>
              <a:bodyPr/>
              <a:lstStyle/>
              <a:p>
                <a:pPr>
                  <a:defRPr sz="71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gapWidth val="100"/>
        <c:shape val="cylinder"/>
        <c:axId val="95814784"/>
        <c:axId val="95816320"/>
        <c:axId val="0"/>
      </c:bar3DChart>
      <c:catAx>
        <c:axId val="958147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71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816320"/>
        <c:crosses val="autoZero"/>
        <c:lblAlgn val="ctr"/>
        <c:lblOffset val="100"/>
      </c:catAx>
      <c:valAx>
        <c:axId val="9581632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71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814784"/>
        <c:crosses val="autoZero"/>
        <c:crossBetween val="between"/>
      </c:valAx>
      <c:spPr>
        <a:noFill/>
        <a:ln w="18061">
          <a:noFill/>
        </a:ln>
      </c:spPr>
    </c:plotArea>
    <c:legend>
      <c:legendPos val="r"/>
      <c:layout>
        <c:manualLayout>
          <c:xMode val="edge"/>
          <c:yMode val="edge"/>
          <c:x val="0.62570091061333322"/>
          <c:y val="0.10519400832332265"/>
          <c:w val="0.36601920585268233"/>
          <c:h val="0.85635478444958402"/>
        </c:manualLayout>
      </c:layout>
      <c:spPr>
        <a:solidFill>
          <a:srgbClr val="FFFFFF"/>
        </a:solidFill>
        <a:ln w="2258">
          <a:solidFill>
            <a:srgbClr val="000000"/>
          </a:solidFill>
          <a:prstDash val="solid"/>
        </a:ln>
      </c:spPr>
      <c:txPr>
        <a:bodyPr/>
        <a:lstStyle/>
        <a:p>
          <a:pPr>
            <a:defRPr sz="91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6773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71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2826</Words>
  <Characters>16111</Characters>
  <Application>Microsoft Office Word</Application>
  <DocSecurity>0</DocSecurity>
  <Lines>134</Lines>
  <Paragraphs>37</Paragraphs>
  <ScaleCrop>false</ScaleCrop>
  <Company/>
  <LinksUpToDate>false</LinksUpToDate>
  <CharactersWithSpaces>18900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2019-07-26T07:55:00Z</dcterms:created>
  <dcterms:modified xsi:type="dcterms:W3CDTF">2019-07-26T07:56:00Z</dcterms:modified>
</cp:coreProperties>
</file>